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9B" w:rsidRPr="002E329B" w:rsidRDefault="002E329B" w:rsidP="002E329B">
      <w:pPr>
        <w:shd w:val="clear" w:color="auto" w:fill="FFFFFF"/>
        <w:ind w:firstLine="0"/>
        <w:jc w:val="left"/>
        <w:textAlignment w:val="baseline"/>
        <w:outlineLvl w:val="0"/>
        <w:rPr>
          <w:rFonts w:ascii="inherit" w:eastAsia="Times New Roman" w:hAnsi="inherit"/>
          <w:b/>
          <w:bCs/>
          <w:color w:val="3D516C"/>
          <w:kern w:val="36"/>
          <w:sz w:val="34"/>
          <w:szCs w:val="34"/>
          <w:lang w:eastAsia="ru-RU"/>
        </w:rPr>
      </w:pPr>
      <w:r w:rsidRPr="002E329B">
        <w:rPr>
          <w:rFonts w:ascii="inherit" w:eastAsia="Times New Roman" w:hAnsi="inherit"/>
          <w:b/>
          <w:bCs/>
          <w:color w:val="3D516C"/>
          <w:kern w:val="36"/>
          <w:sz w:val="34"/>
          <w:szCs w:val="34"/>
          <w:lang w:eastAsia="ru-RU"/>
        </w:rPr>
        <w:t>ПАМЯТКА ДЛЯ ТЕХ, С КЕМ НЕ ОФОРМЛЕНЫ ТРУДОВЫЕ ДОГОВОРЫ</w:t>
      </w:r>
    </w:p>
    <w:p w:rsidR="002E329B" w:rsidRPr="002E329B" w:rsidRDefault="002E329B" w:rsidP="002E329B">
      <w:pPr>
        <w:shd w:val="clear" w:color="auto" w:fill="F5F5F5"/>
        <w:ind w:firstLine="0"/>
        <w:jc w:val="left"/>
        <w:textAlignment w:val="baseline"/>
        <w:rPr>
          <w:rFonts w:ascii="Trebuchet MS" w:eastAsia="Times New Roman" w:hAnsi="Trebuchet MS"/>
          <w:color w:val="000000"/>
          <w:sz w:val="17"/>
          <w:szCs w:val="17"/>
          <w:lang w:eastAsia="ru-RU"/>
        </w:rPr>
      </w:pPr>
      <w:r>
        <w:rPr>
          <w:rFonts w:ascii="Trebuchet MS" w:eastAsia="Times New Roman" w:hAnsi="Trebuchet MS"/>
          <w:noProof/>
          <w:color w:val="00A7E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2095500" cy="1569720"/>
            <wp:effectExtent l="19050" t="0" r="0" b="0"/>
            <wp:docPr id="1" name="Рисунок 1" descr="https://omsukchan-adm.ru/media/project_mo_183/54/5e/78/5d/c8/f4/c5719849_927a_4b0c_8de4_7912816a2aa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sukchan-adm.ru/media/project_mo_183/54/5e/78/5d/c8/f4/c5719849_927a_4b0c_8de4_7912816a2aa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29B" w:rsidRPr="002E329B" w:rsidRDefault="002E329B" w:rsidP="002E329B">
      <w:pPr>
        <w:shd w:val="clear" w:color="auto" w:fill="F5F5F5"/>
        <w:ind w:firstLine="0"/>
        <w:jc w:val="left"/>
        <w:textAlignment w:val="baseline"/>
        <w:rPr>
          <w:rFonts w:ascii="inherit" w:eastAsia="Times New Roman" w:hAnsi="inherit"/>
          <w:color w:val="000000"/>
          <w:sz w:val="22"/>
          <w:szCs w:val="22"/>
          <w:lang w:eastAsia="ru-RU"/>
        </w:rPr>
      </w:pPr>
      <w:r w:rsidRPr="002E329B">
        <w:rPr>
          <w:rFonts w:ascii="inherit" w:eastAsia="Times New Roman" w:hAnsi="inherit"/>
          <w:color w:val="000000"/>
          <w:sz w:val="22"/>
          <w:szCs w:val="22"/>
          <w:lang w:eastAsia="ru-RU"/>
        </w:rPr>
        <w:t xml:space="preserve">Согласно статье 15 Трудового кодекса Российской Федерации трудовые отношения —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</w:t>
      </w:r>
      <w:proofErr w:type="gramStart"/>
      <w:r w:rsidRPr="002E329B">
        <w:rPr>
          <w:rFonts w:ascii="inherit" w:eastAsia="Times New Roman" w:hAnsi="inherit"/>
          <w:color w:val="000000"/>
          <w:sz w:val="22"/>
          <w:szCs w:val="22"/>
          <w:lang w:eastAsia="ru-RU"/>
        </w:rPr>
        <w:t>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2E329B" w:rsidRPr="002E329B" w:rsidRDefault="002E329B" w:rsidP="002E329B">
      <w:pPr>
        <w:ind w:firstLine="0"/>
        <w:jc w:val="left"/>
        <w:rPr>
          <w:rFonts w:eastAsia="Times New Roman"/>
          <w:sz w:val="24"/>
          <w:lang w:eastAsia="ru-RU"/>
        </w:rPr>
      </w:pPr>
      <w:r w:rsidRPr="002E329B">
        <w:rPr>
          <w:rFonts w:eastAsia="Times New Roman"/>
          <w:sz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Согласно статье 15 Трудового кодекса Российской Федерации трудовые отношения —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</w:t>
      </w:r>
      <w:proofErr w:type="gramStart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Трудовые отношения возникают между работником и работодателем на основании трудового договора (статья 16 Трудового кодекса Российской Федерации).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В соответствии со статьей 67 Трудового кодекса Российской Федерации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ведома</w:t>
      </w:r>
      <w:proofErr w:type="gramEnd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 или по поручению работодателя или его уполномоченного на это представителя.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proofErr w:type="gramStart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— не позднее трех рабочих дней со дня признания этих отношений трудовыми отношениями, если</w:t>
      </w:r>
      <w:proofErr w:type="gramEnd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 иное не установлено судом.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proofErr w:type="gramStart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В соответствии со статьей 67.1 Трудового кодекса Российской Федерации, если физическое лицо было фактически допущено к работе работником, не уполномоченным на это работодателем, 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(заключить с лицом, фактически допущенным к работе, трудовой договор), работодатель, в интересах которого была</w:t>
      </w:r>
      <w:proofErr w:type="gramEnd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 выполнена работа, </w:t>
      </w:r>
      <w:proofErr w:type="gramStart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обязан</w:t>
      </w:r>
      <w:proofErr w:type="gramEnd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 оплатить такому физическому лицу фактически отработанное им время (выполненную работу).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Трудовым кодексом Российской Федерации и иными федеральными законами.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Не оформление трудового договора является нарушением трудовых прав.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В соответствии с пунктом 2 статьи 5.27. </w:t>
      </w:r>
      <w:proofErr w:type="gramStart"/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 xml:space="preserve">Кодекса об административных правонарушениях Российской Федерации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</w:t>
      </w: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lastRenderedPageBreak/>
        <w:t>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штрафа:</w:t>
      </w:r>
      <w:proofErr w:type="gramEnd"/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граждан в размере от трех тысяч до пяти тысяч рублей;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должностных лиц — от десяти тысяч до двадцати тысяч рублей.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В соответствии с пунктом 3 статьи 5.27. Кодекса об административных правонарушениях Российской Федерации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штрафа: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должностных лиц в размере от десяти тысяч до двадцати тысяч рублей;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лиц, осуществляющих предпринимательскую деятельность без образования юридического лица, от пяти тысяч до десяти тысяч рублей;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юридических лиц от пятидесяти тысяч до ста тысяч рублей.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Совершение вышеназванных 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штрафа: на граждан в размере пяти тысяч рублей;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должностных лиц — дисквалификацию на срок от одного года до трех лет;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лиц, осуществляющих предпринимательскую деятельность без образования юридического лица от тридцати тысяч до сорока тысяч рублей;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на юридических лиц от ста тысяч до двухсот тысяч рублей.</w:t>
      </w:r>
    </w:p>
    <w:p w:rsidR="002E329B" w:rsidRPr="002E329B" w:rsidRDefault="002E329B" w:rsidP="002E329B">
      <w:pPr>
        <w:shd w:val="clear" w:color="auto" w:fill="FFFFFF"/>
        <w:spacing w:after="192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ДЛЯ ЗАЩИТЫ СВОИХ ИНТЕРЕСОВ СЛЕДУЕТ</w:t>
      </w:r>
    </w:p>
    <w:p w:rsidR="002E329B" w:rsidRPr="002E329B" w:rsidRDefault="002E329B" w:rsidP="002E329B">
      <w:pPr>
        <w:shd w:val="clear" w:color="auto" w:fill="FFFFFF"/>
        <w:ind w:firstLine="0"/>
        <w:jc w:val="left"/>
        <w:textAlignment w:val="baseline"/>
        <w:rPr>
          <w:rFonts w:ascii="inherit" w:eastAsia="Times New Roman" w:hAnsi="inherit"/>
          <w:color w:val="000000"/>
          <w:sz w:val="19"/>
          <w:szCs w:val="19"/>
          <w:lang w:eastAsia="ru-RU"/>
        </w:rPr>
      </w:pPr>
      <w:r w:rsidRPr="002E329B">
        <w:rPr>
          <w:rFonts w:ascii="inherit" w:eastAsia="Times New Roman" w:hAnsi="inherit"/>
          <w:color w:val="000000"/>
          <w:sz w:val="19"/>
          <w:szCs w:val="19"/>
          <w:lang w:eastAsia="ru-RU"/>
        </w:rPr>
        <w:t>РУКОВОДСТВОВАТЬСЯ СТАТЬЕЙ 352 ТРУДОВОГО КОДЕКСА РОССИЙСКОЙ ФЕДЕРАЦИИ, В СООТВЕТСТВИИ С КОТОРОЙ ВЫ ИМЕЕТЕ ПРАВО НА САМОЗАЩИТУ, СУДЕБНУЮ ЗАЩИТУ И ДРУГИЕ СПОСОБЫ ЗАЩИТЫ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9B"/>
    <w:rsid w:val="00231508"/>
    <w:rsid w:val="002E329B"/>
    <w:rsid w:val="0081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2E329B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29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29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3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4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msukchan-adm.ru/media/project_mo_183/54/5e/78/5d/c8/f4/c5719849_927a_4b0c_8de4_7912816a2aa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2023-12-28T12:13:00Z</cp:lastPrinted>
  <dcterms:created xsi:type="dcterms:W3CDTF">2023-12-28T12:12:00Z</dcterms:created>
  <dcterms:modified xsi:type="dcterms:W3CDTF">2023-12-28T12:16:00Z</dcterms:modified>
</cp:coreProperties>
</file>